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烟台市“数据要素×”2025年十大实事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1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975"/>
        <w:gridCol w:w="4600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2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2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实事名称</w:t>
            </w:r>
          </w:p>
        </w:tc>
        <w:tc>
          <w:tcPr>
            <w:tcW w:w="4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2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实事内容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2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建成数据要素服务平台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建成公共数据运营、企业数据开发流通和数据资产化服务“三位一体”的数据要素服务平台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打造10个以上公共数据运营典型场景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完成公共数据资源登记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完成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《烟台市行政事业单位数据资产管理试点实施方案》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试点任务。开展公共数据资源登记，完成纳入授权运营范围的公共数据资源登记。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开展数据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供需大调研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深入100家以上企业，开展数据要素政策宣贯和市场供需调研，摸清企业数据供需及开发利用情况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建设高质量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数据集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推动重点行业数据资源分类分级、编目汇总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，建设10个以上高质量数据集，完成3个以上政务领域大模型创新应用场景建设。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举办2025年“数据要素×”大赛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办好2025年“数据要素×”大赛，聚焦工业制造、现代农业、城市治理等重点领域和特色赛道，形成一批优秀解决方案和优秀数据成果。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打造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数据应用典型场景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围绕全市绿色低碳高质量发展，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在政务服务、智慧交通、社会治理、富农富民等领域打造20个以上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数据应用典型场景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开发数据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产品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广泛培育、吸纳具有数据产品开发能力的优秀企业，融合公共数据和企业数据，打造50个以上数据产品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培育卫星数据交易细分市场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围绕卫星遥感方面的应用需求，形成一批社会效益突出、产业带动效应强的卫星数据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产品和服务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支持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东方航天港卫星数据交易平台建设，推动卫星数据流通交易。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引育数据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围绕数据“采存算管用”，建立全市数据企业库，引育5家以上数据要素领军企业，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梯度培育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50家以上数据企业。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打造特色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数据产业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集聚区</w:t>
            </w:r>
          </w:p>
        </w:tc>
        <w:tc>
          <w:tcPr>
            <w:tcW w:w="4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2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打造东方航天港卫星数据产业园（海阳市）、烟台大数据产业园（黄渤海新区）、数字经济产业园（龙口市）等数据产业集聚区。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12月底前</w:t>
            </w:r>
          </w:p>
        </w:tc>
      </w:tr>
    </w:tbl>
    <w:p>
      <w:pPr>
        <w:spacing w:line="540" w:lineRule="exact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  <w:lang w:bidi="ar"/>
        </w:rPr>
      </w:pPr>
    </w:p>
    <w:p>
      <w:pPr>
        <w:spacing w:line="240" w:lineRule="auto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  <w:lang w:bidi="ar"/>
        </w:rPr>
      </w:pPr>
    </w:p>
    <w:p>
      <w:pPr>
        <w:spacing w:line="240" w:lineRule="auto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  <w:lang w:bidi="ar"/>
        </w:rPr>
      </w:pPr>
    </w:p>
    <w:p>
      <w:pPr>
        <w:spacing w:line="240" w:lineRule="auto"/>
        <w:ind w:firstLine="0" w:firstLineChars="0"/>
        <w:rPr>
          <w:rFonts w:ascii="Times New Roman" w:hAnsi="Times New Roman" w:eastAsia="仿宋_GB2312"/>
          <w:bCs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155" w:right="1474" w:bottom="2041" w:left="158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3"/>
        <w:ind w:left="420" w:firstLine="420"/>
      </w:pPr>
    </w:p>
    <w:p/>
    <w:p>
      <w:pPr>
        <w:pStyle w:val="2"/>
        <w:rPr>
          <w:rFonts w:hint="eastAsia"/>
        </w:rPr>
      </w:pPr>
    </w:p>
    <w:tbl>
      <w:tblPr>
        <w:tblStyle w:val="15"/>
        <w:tblpPr w:leftFromText="180" w:rightFromText="180" w:vertAnchor="text" w:horzAnchor="margin" w:tblpY="4944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3"/>
              <w:spacing w:line="480" w:lineRule="exact"/>
              <w:ind w:left="0" w:leftChars="0" w:firstLine="140" w:firstLineChars="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抄送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山东省大数据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4" w:space="0"/>
            </w:tcBorders>
          </w:tcPr>
          <w:p>
            <w:pPr>
              <w:pStyle w:val="3"/>
              <w:spacing w:line="480" w:lineRule="exact"/>
              <w:ind w:left="0" w:leftChars="0" w:firstLine="140" w:firstLineChars="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烟台市大数据局办公室                     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3"/>
        <w:spacing w:line="20" w:lineRule="exact"/>
        <w:ind w:left="0" w:leftChars="0" w:firstLine="0" w:firstLineChars="0"/>
        <w:rPr>
          <w:rFonts w:hint="eastAsia"/>
          <w:kern w:val="0"/>
        </w:rPr>
      </w:pPr>
    </w:p>
    <w:sectPr>
      <w:footerReference r:id="rId5" w:type="default"/>
      <w:footerReference r:id="rId6" w:type="even"/>
      <w:pgSz w:w="11906" w:h="16838"/>
      <w:pgMar w:top="2098" w:right="1474" w:bottom="1701" w:left="1588" w:header="851" w:footer="1418" w:gutter="0"/>
      <w:cols w:space="0" w:num="1"/>
      <w:vAlign w:val="bottom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B0604020202020204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numPr>
        <w:ilvl w:val="0"/>
        <w:numId w:val="1"/>
      </w:numPr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  <w:szCs w:val="32"/>
      </w:rPr>
      <w:t xml:space="preserve"> </w:t>
    </w:r>
    <w:sdt>
      <w:sdtPr>
        <w:rPr>
          <w:sz w:val="16"/>
        </w:rPr>
        <w:id w:val="753093783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  <w:p>
    <w:pPr>
      <w:pStyle w:val="10"/>
      <w:ind w:right="72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sdt>
      <w:sdtPr>
        <w:rPr>
          <w:rFonts w:ascii="Times New Roman" w:hAnsi="Times New Roman"/>
          <w:sz w:val="28"/>
          <w:szCs w:val="28"/>
        </w:rPr>
        <w:id w:val="-131639381"/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4659630</wp:posOffset>
              </wp:positionH>
              <wp:positionV relativeFrom="paragraph">
                <wp:posOffset>-3810</wp:posOffset>
              </wp:positionV>
              <wp:extent cx="8382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right"/>
                            <w:rPr>
                              <w:rFonts w:cs="仿宋" w:asciiTheme="minorEastAsia" w:hAnsiTheme="minorEastAsia" w:eastAsiaTheme="min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cs="仿宋" w:asciiTheme="minorEastAsia" w:hAnsiTheme="minorEastAsia" w:eastAsiaTheme="min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cs="仿宋" w:asciiTheme="minorEastAsia" w:hAnsiTheme="minorEastAsia" w:eastAsiaTheme="min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cs="仿宋" w:asciiTheme="minorEastAsia" w:hAnsiTheme="minorEastAsia" w:eastAsiaTheme="min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仿宋" w:asciiTheme="minorEastAsia" w:hAnsiTheme="minorEastAsia" w:eastAsiaTheme="min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cs="仿宋" w:asciiTheme="minorEastAsia" w:hAnsiTheme="minorEastAsia" w:eastAsiaTheme="minorEastAsia"/>
                              <w:sz w:val="28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cs="仿宋" w:asciiTheme="minorEastAsia" w:hAnsiTheme="minorEastAsia" w:eastAsiaTheme="min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cs="仿宋" w:asciiTheme="minorEastAsia" w:hAnsiTheme="minorEastAsia" w:eastAsiaTheme="min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9pt;margin-top:-0.3pt;height:144pt;width:66pt;mso-position-horizontal-relative:margin;z-index:251660288;mso-width-relative:page;mso-height-relative:page;" filled="f" stroked="f" coordsize="21600,21600" o:gfxdata="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TGIlXYAAAACQEAAA8AAAAAAAAAAQAgAAAAIgAAAGRycy9kb3ducmV2Lnht&#10;bFBLAQIUABQAAAAIAIdO4kBnWZB0MgIAAFY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right"/>
                      <w:rPr>
                        <w:rFonts w:cs="仿宋" w:asciiTheme="minorEastAsia" w:hAnsiTheme="minorEastAsia" w:eastAsiaTheme="minorEastAsia"/>
                        <w:sz w:val="28"/>
                        <w:szCs w:val="32"/>
                      </w:rPr>
                    </w:pPr>
                    <w:r>
                      <w:rPr>
                        <w:rFonts w:hint="eastAsia" w:cs="仿宋" w:asciiTheme="minorEastAsia" w:hAnsiTheme="minorEastAsia" w:eastAsiaTheme="min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cs="仿宋" w:asciiTheme="minorEastAsia" w:hAnsiTheme="minorEastAsia" w:eastAsiaTheme="min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cs="仿宋" w:asciiTheme="minorEastAsia" w:hAnsiTheme="minorEastAsia" w:eastAsiaTheme="min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cs="仿宋" w:asciiTheme="minorEastAsia" w:hAnsiTheme="minorEastAsia" w:eastAsiaTheme="min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cs="仿宋" w:asciiTheme="minorEastAsia" w:hAnsiTheme="minorEastAsia" w:eastAsiaTheme="minorEastAsia"/>
                        <w:sz w:val="28"/>
                        <w:szCs w:val="32"/>
                      </w:rPr>
                      <w:t>3</w:t>
                    </w:r>
                    <w:r>
                      <w:rPr>
                        <w:rFonts w:hint="eastAsia" w:cs="仿宋" w:asciiTheme="minorEastAsia" w:hAnsiTheme="minorEastAsia" w:eastAsiaTheme="min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cs="仿宋" w:asciiTheme="minorEastAsia" w:hAnsiTheme="minorEastAsia" w:eastAsiaTheme="min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QHp8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dAen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Theme="minorEastAsia" w:hAnsiTheme="minorEastAsia" w:eastAsiaTheme="minorEastAsia"/>
        <w:sz w:val="28"/>
        <w:szCs w:val="32"/>
      </w:rPr>
    </w:pPr>
    <w:r>
      <w:rPr>
        <w:rFonts w:hint="eastAsia" w:cs="仿宋" w:asciiTheme="minorEastAsia" w:hAnsiTheme="minorEastAsia" w:eastAsiaTheme="minorEastAsia"/>
        <w:sz w:val="28"/>
        <w:szCs w:val="32"/>
      </w:rPr>
      <w:t xml:space="preserve">— </w:t>
    </w:r>
    <w:r>
      <w:rPr>
        <w:rFonts w:hint="eastAsia" w:cs="宋体" w:asciiTheme="minorEastAsia" w:hAnsiTheme="minorEastAsia" w:eastAsiaTheme="minorEastAsia"/>
        <w:sz w:val="28"/>
        <w:szCs w:val="32"/>
      </w:rPr>
      <w:fldChar w:fldCharType="begin"/>
    </w:r>
    <w:r>
      <w:rPr>
        <w:rFonts w:hint="eastAsia" w:cs="宋体" w:asciiTheme="minorEastAsia" w:hAnsiTheme="minorEastAsia" w:eastAsiaTheme="minorEastAsia"/>
        <w:sz w:val="28"/>
        <w:szCs w:val="32"/>
      </w:rPr>
      <w:instrText xml:space="preserve"> PAGE  \* MERGEFORMAT </w:instrText>
    </w:r>
    <w:r>
      <w:rPr>
        <w:rFonts w:hint="eastAsia" w:cs="宋体" w:asciiTheme="minorEastAsia" w:hAnsiTheme="minorEastAsia" w:eastAsiaTheme="minorEastAsia"/>
        <w:sz w:val="28"/>
        <w:szCs w:val="32"/>
      </w:rPr>
      <w:fldChar w:fldCharType="separate"/>
    </w:r>
    <w:r>
      <w:rPr>
        <w:rFonts w:cs="宋体" w:asciiTheme="minorEastAsia" w:hAnsiTheme="minorEastAsia" w:eastAsiaTheme="minorEastAsia"/>
        <w:sz w:val="28"/>
        <w:szCs w:val="32"/>
      </w:rPr>
      <w:t>2</w:t>
    </w:r>
    <w:r>
      <w:rPr>
        <w:rFonts w:hint="eastAsia" w:cs="宋体" w:asciiTheme="minorEastAsia" w:hAnsiTheme="minorEastAsia" w:eastAsiaTheme="minorEastAsia"/>
        <w:sz w:val="28"/>
        <w:szCs w:val="32"/>
      </w:rPr>
      <w:fldChar w:fldCharType="end"/>
    </w:r>
    <w:r>
      <w:rPr>
        <w:rFonts w:hint="eastAsia" w:cs="仿宋" w:asciiTheme="minorEastAsia" w:hAnsiTheme="minorEastAsia" w:eastAsiaTheme="minorEastAsia"/>
        <w:sz w:val="28"/>
        <w:szCs w:val="32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E71C4"/>
    <w:multiLevelType w:val="multilevel"/>
    <w:tmpl w:val="469E71C4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ZWExMDIwMTAyNTlkY2I3MDQ0MGE2NzkwYzQ5NGQifQ=="/>
  </w:docVars>
  <w:rsids>
    <w:rsidRoot w:val="00B450C4"/>
    <w:rsid w:val="0005423D"/>
    <w:rsid w:val="0007704E"/>
    <w:rsid w:val="000B44D3"/>
    <w:rsid w:val="000E5855"/>
    <w:rsid w:val="001263C4"/>
    <w:rsid w:val="00136888"/>
    <w:rsid w:val="00146C5D"/>
    <w:rsid w:val="00155351"/>
    <w:rsid w:val="001647FB"/>
    <w:rsid w:val="00191444"/>
    <w:rsid w:val="00195EC2"/>
    <w:rsid w:val="00253777"/>
    <w:rsid w:val="003517AA"/>
    <w:rsid w:val="003564C0"/>
    <w:rsid w:val="00373637"/>
    <w:rsid w:val="003E5DFD"/>
    <w:rsid w:val="004379B6"/>
    <w:rsid w:val="00461F27"/>
    <w:rsid w:val="0046216A"/>
    <w:rsid w:val="00473327"/>
    <w:rsid w:val="004E597F"/>
    <w:rsid w:val="00524211"/>
    <w:rsid w:val="00537A21"/>
    <w:rsid w:val="005A7C7F"/>
    <w:rsid w:val="005B4C0B"/>
    <w:rsid w:val="005E2067"/>
    <w:rsid w:val="005F15FA"/>
    <w:rsid w:val="00600C99"/>
    <w:rsid w:val="00646FD5"/>
    <w:rsid w:val="006516F8"/>
    <w:rsid w:val="006D208D"/>
    <w:rsid w:val="007233A6"/>
    <w:rsid w:val="0073490F"/>
    <w:rsid w:val="007764ED"/>
    <w:rsid w:val="007C7DBB"/>
    <w:rsid w:val="008A26DC"/>
    <w:rsid w:val="008F2160"/>
    <w:rsid w:val="009355B4"/>
    <w:rsid w:val="009519A4"/>
    <w:rsid w:val="00953854"/>
    <w:rsid w:val="00981E81"/>
    <w:rsid w:val="009E5644"/>
    <w:rsid w:val="009F2902"/>
    <w:rsid w:val="009F4891"/>
    <w:rsid w:val="00A1172D"/>
    <w:rsid w:val="00A60CA4"/>
    <w:rsid w:val="00A6106D"/>
    <w:rsid w:val="00B450C4"/>
    <w:rsid w:val="00B51B2E"/>
    <w:rsid w:val="00B55C7E"/>
    <w:rsid w:val="00B625BD"/>
    <w:rsid w:val="00B84DB3"/>
    <w:rsid w:val="00BA1F2B"/>
    <w:rsid w:val="00BA28B9"/>
    <w:rsid w:val="00BB5A5D"/>
    <w:rsid w:val="00C620DF"/>
    <w:rsid w:val="00CC5054"/>
    <w:rsid w:val="00CC6068"/>
    <w:rsid w:val="00CD0A42"/>
    <w:rsid w:val="00CF288D"/>
    <w:rsid w:val="00D176C9"/>
    <w:rsid w:val="00D67460"/>
    <w:rsid w:val="00D71676"/>
    <w:rsid w:val="00E16039"/>
    <w:rsid w:val="00F27441"/>
    <w:rsid w:val="00F42AF1"/>
    <w:rsid w:val="00F64F09"/>
    <w:rsid w:val="00F847C4"/>
    <w:rsid w:val="02175F02"/>
    <w:rsid w:val="02337D11"/>
    <w:rsid w:val="023F2212"/>
    <w:rsid w:val="03A660E7"/>
    <w:rsid w:val="03AA7B5F"/>
    <w:rsid w:val="045A1B3A"/>
    <w:rsid w:val="049700B1"/>
    <w:rsid w:val="04E43544"/>
    <w:rsid w:val="053E4A03"/>
    <w:rsid w:val="06191CA7"/>
    <w:rsid w:val="071023CF"/>
    <w:rsid w:val="07707311"/>
    <w:rsid w:val="07E16772"/>
    <w:rsid w:val="088F5575"/>
    <w:rsid w:val="09237A33"/>
    <w:rsid w:val="0AF40917"/>
    <w:rsid w:val="0B316AA8"/>
    <w:rsid w:val="0B9E72BF"/>
    <w:rsid w:val="0BB538AF"/>
    <w:rsid w:val="0C1142BE"/>
    <w:rsid w:val="0C3D36B1"/>
    <w:rsid w:val="0C686809"/>
    <w:rsid w:val="0E26072A"/>
    <w:rsid w:val="0E582D88"/>
    <w:rsid w:val="0E652AC5"/>
    <w:rsid w:val="0E92603E"/>
    <w:rsid w:val="0ECE05F4"/>
    <w:rsid w:val="0F8D2B58"/>
    <w:rsid w:val="1182211B"/>
    <w:rsid w:val="122469F0"/>
    <w:rsid w:val="12D70244"/>
    <w:rsid w:val="131D034D"/>
    <w:rsid w:val="13390EFF"/>
    <w:rsid w:val="13CE5AEB"/>
    <w:rsid w:val="143E08C0"/>
    <w:rsid w:val="14C842E9"/>
    <w:rsid w:val="14DF612F"/>
    <w:rsid w:val="15075A95"/>
    <w:rsid w:val="15194C23"/>
    <w:rsid w:val="158C1F5E"/>
    <w:rsid w:val="15C86AD5"/>
    <w:rsid w:val="162C6AF9"/>
    <w:rsid w:val="16D847EC"/>
    <w:rsid w:val="16F85567"/>
    <w:rsid w:val="17435B11"/>
    <w:rsid w:val="17544209"/>
    <w:rsid w:val="17F13AA6"/>
    <w:rsid w:val="17FA68DF"/>
    <w:rsid w:val="184E0FA9"/>
    <w:rsid w:val="18636800"/>
    <w:rsid w:val="188153F0"/>
    <w:rsid w:val="18826EA4"/>
    <w:rsid w:val="18F363CF"/>
    <w:rsid w:val="191A36AB"/>
    <w:rsid w:val="19622F5E"/>
    <w:rsid w:val="198527A8"/>
    <w:rsid w:val="199D3F96"/>
    <w:rsid w:val="1AF80A52"/>
    <w:rsid w:val="1B356450"/>
    <w:rsid w:val="1B693A6A"/>
    <w:rsid w:val="1B862808"/>
    <w:rsid w:val="1B8B6070"/>
    <w:rsid w:val="1CAA5A77"/>
    <w:rsid w:val="1CF739BD"/>
    <w:rsid w:val="1D547061"/>
    <w:rsid w:val="1E1265D5"/>
    <w:rsid w:val="1E4C1AE7"/>
    <w:rsid w:val="1E4F5A7B"/>
    <w:rsid w:val="1EEA12FF"/>
    <w:rsid w:val="1F1F369F"/>
    <w:rsid w:val="1F707A57"/>
    <w:rsid w:val="1FAA11BB"/>
    <w:rsid w:val="1FD955FC"/>
    <w:rsid w:val="203D7F9F"/>
    <w:rsid w:val="20E71F9A"/>
    <w:rsid w:val="211E5946"/>
    <w:rsid w:val="216C24A0"/>
    <w:rsid w:val="21C12C09"/>
    <w:rsid w:val="221E19EC"/>
    <w:rsid w:val="22D93B65"/>
    <w:rsid w:val="24924001"/>
    <w:rsid w:val="2492749F"/>
    <w:rsid w:val="255D7234"/>
    <w:rsid w:val="266E00C2"/>
    <w:rsid w:val="278E13C2"/>
    <w:rsid w:val="27A209C9"/>
    <w:rsid w:val="27E25126"/>
    <w:rsid w:val="283106A2"/>
    <w:rsid w:val="28CC03F4"/>
    <w:rsid w:val="29466190"/>
    <w:rsid w:val="2A0616E3"/>
    <w:rsid w:val="2A687D87"/>
    <w:rsid w:val="2A701253"/>
    <w:rsid w:val="2ABA24CE"/>
    <w:rsid w:val="2B7F3EEE"/>
    <w:rsid w:val="2BAA4238"/>
    <w:rsid w:val="2BAC0068"/>
    <w:rsid w:val="2C7917A4"/>
    <w:rsid w:val="2D5C5ABE"/>
    <w:rsid w:val="2E4E643A"/>
    <w:rsid w:val="2E585394"/>
    <w:rsid w:val="30872E52"/>
    <w:rsid w:val="30D342E9"/>
    <w:rsid w:val="314F5689"/>
    <w:rsid w:val="31660CB9"/>
    <w:rsid w:val="32306BB8"/>
    <w:rsid w:val="340C3D9A"/>
    <w:rsid w:val="34997ABA"/>
    <w:rsid w:val="34F54A0D"/>
    <w:rsid w:val="353E4427"/>
    <w:rsid w:val="360016DD"/>
    <w:rsid w:val="368101F6"/>
    <w:rsid w:val="36AF1D76"/>
    <w:rsid w:val="36C4095C"/>
    <w:rsid w:val="380A4A95"/>
    <w:rsid w:val="38593326"/>
    <w:rsid w:val="3994695C"/>
    <w:rsid w:val="3AD44EE6"/>
    <w:rsid w:val="3BA30D31"/>
    <w:rsid w:val="3C30439E"/>
    <w:rsid w:val="3C904275"/>
    <w:rsid w:val="3D2F5878"/>
    <w:rsid w:val="3D50494E"/>
    <w:rsid w:val="3D9443CB"/>
    <w:rsid w:val="3DF17B5D"/>
    <w:rsid w:val="3E174DB9"/>
    <w:rsid w:val="3E8F1ECB"/>
    <w:rsid w:val="3F2C3542"/>
    <w:rsid w:val="3FAC7289"/>
    <w:rsid w:val="40DB111A"/>
    <w:rsid w:val="40E008A7"/>
    <w:rsid w:val="41A2478F"/>
    <w:rsid w:val="4249440B"/>
    <w:rsid w:val="42BC698B"/>
    <w:rsid w:val="42D33CD5"/>
    <w:rsid w:val="43543B6A"/>
    <w:rsid w:val="43596693"/>
    <w:rsid w:val="439437CC"/>
    <w:rsid w:val="43C46516"/>
    <w:rsid w:val="443B015D"/>
    <w:rsid w:val="44623562"/>
    <w:rsid w:val="4597723C"/>
    <w:rsid w:val="46475DC6"/>
    <w:rsid w:val="466C0740"/>
    <w:rsid w:val="46A37E92"/>
    <w:rsid w:val="46EE5016"/>
    <w:rsid w:val="475A2C17"/>
    <w:rsid w:val="477517FF"/>
    <w:rsid w:val="47A04ACD"/>
    <w:rsid w:val="48084421"/>
    <w:rsid w:val="49783B26"/>
    <w:rsid w:val="499713DC"/>
    <w:rsid w:val="49A917EE"/>
    <w:rsid w:val="4B245A16"/>
    <w:rsid w:val="4C4370C9"/>
    <w:rsid w:val="4C912C37"/>
    <w:rsid w:val="4CDA0956"/>
    <w:rsid w:val="4D6F4DFA"/>
    <w:rsid w:val="4DB27309"/>
    <w:rsid w:val="4DCE2B1A"/>
    <w:rsid w:val="4EA618A8"/>
    <w:rsid w:val="4F4C72E9"/>
    <w:rsid w:val="4FC95432"/>
    <w:rsid w:val="503E30D6"/>
    <w:rsid w:val="504023D9"/>
    <w:rsid w:val="50F96FFC"/>
    <w:rsid w:val="511B5B73"/>
    <w:rsid w:val="51A31701"/>
    <w:rsid w:val="527D407C"/>
    <w:rsid w:val="52A8783A"/>
    <w:rsid w:val="52BD6D59"/>
    <w:rsid w:val="532365B3"/>
    <w:rsid w:val="53A21BCD"/>
    <w:rsid w:val="5430603C"/>
    <w:rsid w:val="55314FB7"/>
    <w:rsid w:val="559772D7"/>
    <w:rsid w:val="55F34962"/>
    <w:rsid w:val="55F85AD5"/>
    <w:rsid w:val="565E50EA"/>
    <w:rsid w:val="566969D2"/>
    <w:rsid w:val="57393674"/>
    <w:rsid w:val="584202B0"/>
    <w:rsid w:val="58936F24"/>
    <w:rsid w:val="58BB695F"/>
    <w:rsid w:val="59213594"/>
    <w:rsid w:val="595D34F5"/>
    <w:rsid w:val="59B93EEC"/>
    <w:rsid w:val="59D65055"/>
    <w:rsid w:val="5A2D7EDB"/>
    <w:rsid w:val="5C5129B6"/>
    <w:rsid w:val="5C7F44DF"/>
    <w:rsid w:val="5CCD5BEB"/>
    <w:rsid w:val="5E4044BD"/>
    <w:rsid w:val="5EC63CEC"/>
    <w:rsid w:val="5F2C67EF"/>
    <w:rsid w:val="5FCB431E"/>
    <w:rsid w:val="5FFD3016"/>
    <w:rsid w:val="602C2F4B"/>
    <w:rsid w:val="60653BCD"/>
    <w:rsid w:val="609C0867"/>
    <w:rsid w:val="60DD4245"/>
    <w:rsid w:val="614E4C24"/>
    <w:rsid w:val="61F513E7"/>
    <w:rsid w:val="633914DA"/>
    <w:rsid w:val="63536A40"/>
    <w:rsid w:val="63F105D5"/>
    <w:rsid w:val="64124205"/>
    <w:rsid w:val="64357EF4"/>
    <w:rsid w:val="64FD3107"/>
    <w:rsid w:val="65172D3B"/>
    <w:rsid w:val="657637E0"/>
    <w:rsid w:val="65E47E23"/>
    <w:rsid w:val="67FE143A"/>
    <w:rsid w:val="68024591"/>
    <w:rsid w:val="681A7329"/>
    <w:rsid w:val="68B03FED"/>
    <w:rsid w:val="69AE6EB7"/>
    <w:rsid w:val="69D64EFC"/>
    <w:rsid w:val="69E824B7"/>
    <w:rsid w:val="6A025C53"/>
    <w:rsid w:val="6A0B1EB5"/>
    <w:rsid w:val="6A326C4F"/>
    <w:rsid w:val="6A615EE7"/>
    <w:rsid w:val="6AE62980"/>
    <w:rsid w:val="6B7D0AFE"/>
    <w:rsid w:val="6BAC3696"/>
    <w:rsid w:val="6D2D2BB1"/>
    <w:rsid w:val="6D503F45"/>
    <w:rsid w:val="6D674016"/>
    <w:rsid w:val="6D832679"/>
    <w:rsid w:val="6DB22DA3"/>
    <w:rsid w:val="6F0F4163"/>
    <w:rsid w:val="6F1C19BD"/>
    <w:rsid w:val="6F7B7934"/>
    <w:rsid w:val="70932B72"/>
    <w:rsid w:val="70970579"/>
    <w:rsid w:val="70BF140D"/>
    <w:rsid w:val="71D10FD8"/>
    <w:rsid w:val="725E4CB3"/>
    <w:rsid w:val="727D5888"/>
    <w:rsid w:val="7363682B"/>
    <w:rsid w:val="737A5923"/>
    <w:rsid w:val="74B91C39"/>
    <w:rsid w:val="753A1B1C"/>
    <w:rsid w:val="7564460A"/>
    <w:rsid w:val="75BA2578"/>
    <w:rsid w:val="75D21A46"/>
    <w:rsid w:val="75F53987"/>
    <w:rsid w:val="76026BD8"/>
    <w:rsid w:val="760F67F7"/>
    <w:rsid w:val="766723CB"/>
    <w:rsid w:val="76CF2B36"/>
    <w:rsid w:val="771816DB"/>
    <w:rsid w:val="77882D05"/>
    <w:rsid w:val="77F75794"/>
    <w:rsid w:val="7897091D"/>
    <w:rsid w:val="79020895"/>
    <w:rsid w:val="79224A93"/>
    <w:rsid w:val="7993773F"/>
    <w:rsid w:val="79FC1788"/>
    <w:rsid w:val="7A0F14BB"/>
    <w:rsid w:val="7AFE32DE"/>
    <w:rsid w:val="7B022DCE"/>
    <w:rsid w:val="7B2F16E9"/>
    <w:rsid w:val="7CA86B3C"/>
    <w:rsid w:val="7D891584"/>
    <w:rsid w:val="7DAC7ACB"/>
    <w:rsid w:val="7E10135E"/>
    <w:rsid w:val="7EC56900"/>
    <w:rsid w:val="7EEC1DCB"/>
    <w:rsid w:val="7F390D88"/>
    <w:rsid w:val="7FE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3"/>
    <w:unhideWhenUsed/>
    <w:qFormat/>
    <w:uiPriority w:val="99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8"/>
    </w:rPr>
  </w:style>
  <w:style w:type="paragraph" w:styleId="3">
    <w:name w:val="Body Text First Indent 2"/>
    <w:basedOn w:val="4"/>
    <w:next w:val="1"/>
    <w:qFormat/>
    <w:uiPriority w:val="0"/>
    <w:pPr>
      <w:spacing w:after="0"/>
      <w:ind w:left="200" w:firstLine="200" w:firstLineChars="200"/>
    </w:pPr>
    <w:rPr>
      <w:rFonts w:ascii="Times New Roman" w:hAnsi="Times New Roman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hint="eastAsia"/>
    </w:rPr>
  </w:style>
  <w:style w:type="paragraph" w:styleId="7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annotation subject"/>
    <w:basedOn w:val="7"/>
    <w:next w:val="7"/>
    <w:link w:val="27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页脚 字符"/>
    <w:basedOn w:val="16"/>
    <w:link w:val="10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20">
    <w:name w:val="批注框文本 字符"/>
    <w:basedOn w:val="16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字符"/>
    <w:basedOn w:val="16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日期 字符"/>
    <w:basedOn w:val="16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3">
    <w:name w:val="正文文本 字符"/>
    <w:basedOn w:val="16"/>
    <w:link w:val="2"/>
    <w:qFormat/>
    <w:uiPriority w:val="99"/>
    <w:rPr>
      <w:rFonts w:ascii="仿宋_GB2312" w:hAnsi="宋体" w:eastAsia="仿宋_GB2312" w:cs="Times New Roman"/>
      <w:kern w:val="0"/>
      <w:sz w:val="28"/>
      <w:szCs w:val="28"/>
    </w:rPr>
  </w:style>
  <w:style w:type="paragraph" w:customStyle="1" w:styleId="24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customStyle="1" w:styleId="25">
    <w:name w:val="fontstyle01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26">
    <w:name w:val="批注文字 字符"/>
    <w:basedOn w:val="16"/>
    <w:link w:val="7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7">
    <w:name w:val="批注主题 字符"/>
    <w:basedOn w:val="26"/>
    <w:link w:val="13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314</Words>
  <Characters>330</Characters>
  <Lines>10</Lines>
  <Paragraphs>2</Paragraphs>
  <TotalTime>3</TotalTime>
  <ScaleCrop>false</ScaleCrop>
  <LinksUpToDate>false</LinksUpToDate>
  <CharactersWithSpaces>343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2024-02-07T03:02:00Z</dcterms:created>
  <dc:creator>ytdsj</dc:creator>
  <cp:lastModifiedBy>孙文杰</cp:lastModifiedBy>
  <cp:lastPrinted>2025-02-27T00:37:00Z</cp:lastPrinted>
  <dcterms:modified xsi:type="dcterms:W3CDTF">2025-02-27T13:56:54Z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F71E25191B8641609E79EAAA9B0D1CB2</vt:lpwstr>
  </property>
  <property fmtid="{D5CDD505-2E9C-101B-9397-08002B2CF9AE}" pid="4" name="KSOTemplateDocerSaveRecord">
    <vt:lpwstr>eyJoZGlkIjoiYjZiNThkY2ExYzBiYTdmN2VkODQ1ZDJjZmQ0NjM0MzAiLCJ1c2VySWQiOiIyMDUyMzU5MDcifQ==</vt:lpwstr>
  </property>
</Properties>
</file>